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  <w:szCs w:val="24"/>
        </w:rPr>
      </w:pPr>
      <w:r>
        <w:rPr>
          <w:rFonts w:cs="Arial"/>
        </w:rPr>
        <w:t xml:space="preserve">20. </w:t>
      </w:r>
      <w:r>
        <w:rPr>
          <w:rFonts w:cs="Arial"/>
          <w:szCs w:val="24"/>
        </w:rPr>
        <w:t>Ogurtsova K, Guariguata L, Barengo NC, Ruiz PL, Sacre JW, Karuranga S, et al. IDF diabetes atlas: global estimates of undiagnosed diabetes in adults for 2021. Diabetes Res Clin Pract. 2022;18 Suppl 1:1-12.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4d8f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34</Words>
  <Characters>176</Characters>
  <CharactersWithSpaces>209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2017-02-16T16:32:00Z</dcterms:created>
  <dc:creator>Mary Oswell</dc:creator>
  <dc:description/>
  <dc:language>ru-RU</dc:language>
  <cp:lastModifiedBy/>
  <dcterms:modified xsi:type="dcterms:W3CDTF">2024-06-24T17:46:09Z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