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cs="Arial"/>
          <w:szCs w:val="24"/>
        </w:rPr>
      </w:pPr>
      <w:r>
        <w:rPr>
          <w:rFonts w:cs="Arial"/>
          <w:szCs w:val="24"/>
        </w:rPr>
        <w:t>21. Yun C, Tang F, Gao Z, Wang W, Bai F, Miller JD, et al. Construction of a risk prediction model of type 2 diabetic kidney disease based on deep learning. Diabetes Metab J. Forthcoming 2024.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64a2"/>
    <w:pPr>
      <w:widowControl/>
      <w:suppressAutoHyphens w:val="true"/>
      <w:bidi w:val="0"/>
      <w:spacing w:lineRule="auto" w:line="480" w:before="0" w:after="0"/>
      <w:jc w:val="left"/>
    </w:pPr>
    <w:rPr>
      <w:rFonts w:ascii="Arial" w:hAnsi="Arial" w:eastAsia="Calibri" w:cs="Times New Roman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LibreOffice/7.5.4.2$Windows_X86_64 LibreOffice_project/36ccfdc35048b057fd9854c757a8b67ec53977b6</Application>
  <AppVersion>15.0000</AppVersion>
  <Pages>1</Pages>
  <Words>36</Words>
  <Characters>157</Characters>
  <CharactersWithSpaces>192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2017-02-16T16:32:00Z</dcterms:created>
  <dc:creator>Mary Oswell</dc:creator>
  <dc:description/>
  <dc:language>ru-RU</dc:language>
  <cp:lastModifiedBy/>
  <dcterms:modified xsi:type="dcterms:W3CDTF">2024-06-24T17:46:13Z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