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Livingstone v ABC Logistics Ltd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[2022] UKHL 13, [2022] 1 AC 507.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