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  <w:t xml:space="preserve">Footnote citation: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Mark Martin, ‘Leading Change and Working with Others’ in Jillian Jones (ed),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Quality Improvement in Law Enforcement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(Routledge 2023) 105.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  <w:t xml:space="preserve">Bibliography entry: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Martin M, ‘Leading Change and Working with Others’ in Jones J (ed),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Quality Improvement in Law Enforcement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(Routledge 2023).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