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Direct quote: The Institute of Chartered Accountants in Australia and New Zealand (2023, p. 18) claims that “the relief in AASB 128 should apply to the ultimate Australian entity.”</w:t>
        <w:br/>
        <w:t xml:space="preserve">Paraphrasing:  The Institute of Chartered Accountants in Australia and New Zealand (2023, p. 18) explains the use of the relief in AASB 128.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