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widowControl w:val="0"/>
        <w:spacing w:line="360" w:lineRule="auto"/>
        <w:contextualSpacing w:val="0"/>
      </w:pPr>
      <w:r w:rsidDel="00000000" w:rsidR="00000000" w:rsidRPr="00000000">
        <w:rPr>
          <w:i w:val="1"/>
          <w:sz w:val="24"/>
          <w:szCs w:val="24"/>
          <w:highlight w:val="white"/>
          <w:rtl w:val="0"/>
        </w:rPr>
        <w:t xml:space="preserve">The New Encyclopedia Britannica.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15th ed. s.vv. “Astronomy,” “Chemistry,”  “Tradition,” “Philosophy.”</w:t>
      </w:r>
    </w:p>
    <w:p w:rsidR="00000000" w:rsidDel="00000000" w:rsidP="00000000" w:rsidRDefault="00000000" w:rsidRPr="00000000">
      <w:pPr>
        <w:widowControl w:val="0"/>
        <w:spacing w:line="360" w:lineRule="auto"/>
        <w:contextualSpacing w:val="0"/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sz w:val="24"/>
          <w:szCs w:val="24"/>
          <w:highlight w:val="white"/>
          <w:u w:val="single"/>
          <w:rtl w:val="0"/>
        </w:rPr>
        <w:t xml:space="preserve">Footnote citation:</w:t>
      </w:r>
    </w:p>
    <w:p w:rsidR="00000000" w:rsidDel="00000000" w:rsidP="00000000" w:rsidRDefault="00000000" w:rsidRPr="00000000">
      <w:pPr>
        <w:widowControl w:val="0"/>
        <w:spacing w:line="360" w:lineRule="auto"/>
        <w:ind w:firstLine="709"/>
        <w:contextualSpacing w:val="0"/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1. </w:t>
      </w:r>
      <w:r w:rsidDel="00000000" w:rsidR="00000000" w:rsidRPr="00000000">
        <w:rPr>
          <w:i w:val="1"/>
          <w:sz w:val="24"/>
          <w:szCs w:val="24"/>
          <w:highlight w:val="white"/>
          <w:rtl w:val="0"/>
        </w:rPr>
        <w:t xml:space="preserve">The New Encyclopedia Britannica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, 15th ed., s.v. “Tradition.”</w:t>
      </w:r>
    </w:p>
    <w:p w:rsidR="00000000" w:rsidDel="00000000" w:rsidP="00000000" w:rsidRDefault="00000000" w:rsidRPr="00000000">
      <w:pPr>
        <w:widowControl w:val="0"/>
        <w:spacing w:line="360" w:lineRule="auto"/>
        <w:ind w:firstLine="709"/>
        <w:contextualSpacing w:val="0"/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2. </w:t>
      </w:r>
      <w:r w:rsidDel="00000000" w:rsidR="00000000" w:rsidRPr="00000000">
        <w:rPr>
          <w:i w:val="1"/>
          <w:sz w:val="24"/>
          <w:szCs w:val="24"/>
          <w:highlight w:val="white"/>
          <w:rtl w:val="0"/>
        </w:rPr>
        <w:t xml:space="preserve">The New Encyclopedia Britannica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, 15th ed., s.vv. “Astronomy,” “Chemistry,”  “Tradition,” “Philosophy.”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360" w:lineRule="auto"/>
        <w:ind w:firstLine="709"/>
        <w:contextualSpacing w:val="0"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