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“Despite the lack of solid research evidence to date, ICTs hold promise in addressing the challenges of mental health care” (Breslau and Engel, 2023, p. 17).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Breslau and Engel (2023, p. 17) state that, in the future, ICT’s could be used to diagnose and treat patients with mental dysfunctions and illnesses.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