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cs="Arial"/>
          <w:color w:val="464646"/>
          <w:sz w:val="20"/>
          <w:szCs w:val="20"/>
          <w:shd w:fill="FFFFFF" w:val="clear"/>
        </w:rPr>
      </w:pPr>
      <w:r>
        <w:rPr>
          <w:rFonts w:cs="Arial"/>
        </w:rPr>
        <w:t>15. Abbas LJ, Wang D, Su ZF, Ziapour A. The role of social media in the advent of COVID-19 pandemic: crisis management, mental health challenges and implications. Risk Manag Healthc Policy. 2021 May;12(1):1917-32.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679a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33</Words>
  <Characters>181</Characters>
  <CharactersWithSpaces>213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2017-02-16T16:30:00Z</dcterms:created>
  <dc:creator>Mary Oswell</dc:creator>
  <dc:description/>
  <dc:language>ru-RU</dc:language>
  <cp:lastModifiedBy/>
  <dcterms:modified xsi:type="dcterms:W3CDTF">2024-06-24T17:45:49Z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