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after="340" w:line="331" w:lineRule="auto"/>
        <w:ind w:left="690" w:hanging="720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(Kotler, “Kotler on Marketing” 65)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40" w:line="331" w:lineRule="auto"/>
        <w:ind w:left="690" w:hanging="720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(Kotler, “Marketing Management” 76)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40" w:line="331" w:lineRule="auto"/>
        <w:ind w:left="690" w:hanging="720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  <w:tab/>
        <w:t xml:space="preserve">However, when the author’s last name is presented in the sentence, the in-text reference will appear at the end of the sentence in this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40" w:line="331" w:lineRule="auto"/>
        <w:ind w:left="690" w:hanging="720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Kotler on Marketing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65)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40" w:line="331" w:lineRule="auto"/>
        <w:ind w:left="690" w:hanging="720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Marketing Management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76)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