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spacing w:line="360" w:lineRule="auto"/>
        <w:ind w:left="709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Mehrer, M., Flatman, J., Flemming, N., Baxter, J., Orser, C., Wescot, K.,…Wescott, K. (2006). </w:t>
      </w:r>
      <w:r w:rsidDel="00000000" w:rsidR="00000000" w:rsidRPr="00000000">
        <w:rPr>
          <w:i w:val="1"/>
          <w:sz w:val="24"/>
          <w:szCs w:val="24"/>
          <w:rtl w:val="0"/>
        </w:rPr>
        <w:t xml:space="preserve">GIS and archaeological site location modeling</w:t>
      </w:r>
      <w:r w:rsidDel="00000000" w:rsidR="00000000" w:rsidRPr="00000000">
        <w:rPr>
          <w:sz w:val="24"/>
          <w:szCs w:val="24"/>
          <w:rtl w:val="0"/>
        </w:rPr>
        <w:t xml:space="preserve">. Boca Raton, FL: Taylor &amp; Francis.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