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 xml:space="preserve">Karl Huhna, </w:t>
      </w:r>
      <w:r>
        <w:rPr>
          <w:rStyle w:val="Style14"/>
          <w:rFonts w:ascii="Times New Roman" w:hAnsi="Times New Roman"/>
        </w:rPr>
        <w:t>The Interface Between EU Climate and Energy Law</w:t>
      </w:r>
      <w:r>
        <w:rPr>
          <w:rFonts w:ascii="Times New Roman" w:hAnsi="Times New Roman"/>
        </w:rPr>
        <w:t xml:space="preserve">, 155 Energy Economics (forthcoming Sep. 2024).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Emphasis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16</Words>
  <Characters>91</Characters>
  <CharactersWithSpaces>107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2024-07-22T01:27:56Z</dcterms:created>
  <dc:creator/>
  <dc:description/>
  <dc:language>ru-RU</dc:language>
  <cp:lastModifiedBy/>
  <dcterms:modified xsi:type="dcterms:W3CDTF">2024-07-22T01:28:11Z</dcterms:modified>
  <cp:revision>1</cp:revision>
  <dc:subject/>
  <dc:title/>
</cp:coreProperties>
</file>