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75F42" w14:textId="55EFBF8C" w:rsidR="008048E7" w:rsidRPr="00591DCF" w:rsidRDefault="00000000" w:rsidP="00591D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DCF">
        <w:rPr>
          <w:rFonts w:ascii="Times New Roman" w:hAnsi="Times New Roman" w:cs="Times New Roman"/>
          <w:sz w:val="24"/>
          <w:szCs w:val="24"/>
        </w:rPr>
        <w:t>References</w:t>
      </w:r>
    </w:p>
    <w:p w14:paraId="465E53B3" w14:textId="78C9B4DC" w:rsidR="008048E7" w:rsidRPr="00591DCF" w:rsidRDefault="00000000" w:rsidP="00591DCF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DCF">
        <w:rPr>
          <w:rFonts w:ascii="Times New Roman" w:hAnsi="Times New Roman" w:cs="Times New Roman"/>
          <w:sz w:val="24"/>
          <w:szCs w:val="24"/>
        </w:rPr>
        <w:t>1. Reimann BP. Personality and social psychology research.</w:t>
      </w:r>
      <w:r w:rsidR="00546F64" w:rsidRPr="00591DCF">
        <w:rPr>
          <w:rFonts w:ascii="Times New Roman" w:hAnsi="Times New Roman" w:cs="Times New Roman"/>
          <w:sz w:val="24"/>
          <w:szCs w:val="24"/>
        </w:rPr>
        <w:t xml:space="preserve"> 10th ed.</w:t>
      </w:r>
      <w:r w:rsidRPr="00591DCF">
        <w:rPr>
          <w:rFonts w:ascii="Times New Roman" w:hAnsi="Times New Roman" w:cs="Times New Roman"/>
          <w:sz w:val="24"/>
          <w:szCs w:val="24"/>
        </w:rPr>
        <w:t xml:space="preserve"> New York</w:t>
      </w:r>
      <w:r w:rsidR="00546F64" w:rsidRPr="00591DCF">
        <w:rPr>
          <w:rFonts w:ascii="Times New Roman" w:hAnsi="Times New Roman" w:cs="Times New Roman"/>
          <w:sz w:val="24"/>
          <w:szCs w:val="24"/>
        </w:rPr>
        <w:t xml:space="preserve"> (NY)</w:t>
      </w:r>
      <w:r w:rsidRPr="00591DCF">
        <w:rPr>
          <w:rFonts w:ascii="Times New Roman" w:hAnsi="Times New Roman" w:cs="Times New Roman"/>
          <w:sz w:val="24"/>
          <w:szCs w:val="24"/>
        </w:rPr>
        <w:t xml:space="preserve">: Nova </w:t>
      </w:r>
      <w:r w:rsidR="00546F64" w:rsidRPr="00591DCF">
        <w:rPr>
          <w:rFonts w:ascii="Times New Roman" w:hAnsi="Times New Roman" w:cs="Times New Roman"/>
          <w:sz w:val="24"/>
          <w:szCs w:val="24"/>
        </w:rPr>
        <w:t>Biomedical</w:t>
      </w:r>
      <w:r w:rsidRPr="00591DCF">
        <w:rPr>
          <w:rFonts w:ascii="Times New Roman" w:hAnsi="Times New Roman" w:cs="Times New Roman"/>
          <w:sz w:val="24"/>
          <w:szCs w:val="24"/>
        </w:rPr>
        <w:t xml:space="preserve"> Books; </w:t>
      </w:r>
      <w:r w:rsidR="00546F64" w:rsidRPr="00591DCF">
        <w:rPr>
          <w:rFonts w:ascii="Times New Roman" w:hAnsi="Times New Roman" w:cs="Times New Roman"/>
          <w:sz w:val="24"/>
          <w:szCs w:val="24"/>
        </w:rPr>
        <w:t>2024</w:t>
      </w:r>
      <w:r w:rsidRPr="00591DCF">
        <w:rPr>
          <w:rFonts w:ascii="Times New Roman" w:hAnsi="Times New Roman" w:cs="Times New Roman"/>
          <w:sz w:val="24"/>
          <w:szCs w:val="24"/>
        </w:rPr>
        <w:t>.</w:t>
      </w:r>
      <w:r w:rsidR="00546F64" w:rsidRPr="00591DCF">
        <w:rPr>
          <w:rFonts w:ascii="Times New Roman" w:hAnsi="Times New Roman" w:cs="Times New Roman"/>
          <w:sz w:val="24"/>
          <w:szCs w:val="24"/>
        </w:rPr>
        <w:t xml:space="preserve"> 223 p.</w:t>
      </w:r>
    </w:p>
    <w:p w14:paraId="2BBDC302" w14:textId="18B9CA1A" w:rsidR="008048E7" w:rsidRPr="00591DCF" w:rsidRDefault="00000000" w:rsidP="00591DCF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DCF">
        <w:rPr>
          <w:rFonts w:ascii="Times New Roman" w:hAnsi="Times New Roman" w:cs="Times New Roman"/>
          <w:sz w:val="24"/>
          <w:szCs w:val="24"/>
        </w:rPr>
        <w:t xml:space="preserve">2. Robbins SP, Judge TA, Odendaal A, Roodt G. </w:t>
      </w:r>
      <w:r w:rsidR="00546F64" w:rsidRPr="00591DCF">
        <w:rPr>
          <w:rFonts w:ascii="Times New Roman" w:hAnsi="Times New Roman" w:cs="Times New Roman"/>
          <w:sz w:val="24"/>
          <w:szCs w:val="24"/>
        </w:rPr>
        <w:t>Organizational</w:t>
      </w:r>
      <w:r w:rsidRPr="00591DCF">
        <w:rPr>
          <w:rFonts w:ascii="Times New Roman" w:hAnsi="Times New Roman" w:cs="Times New Roman"/>
          <w:sz w:val="24"/>
          <w:szCs w:val="24"/>
        </w:rPr>
        <w:t xml:space="preserve"> </w:t>
      </w:r>
      <w:r w:rsidR="00546F64" w:rsidRPr="00591DCF">
        <w:rPr>
          <w:rFonts w:ascii="Times New Roman" w:hAnsi="Times New Roman" w:cs="Times New Roman"/>
          <w:sz w:val="24"/>
          <w:szCs w:val="24"/>
        </w:rPr>
        <w:t>behavior</w:t>
      </w:r>
      <w:r w:rsidRPr="00591DCF">
        <w:rPr>
          <w:rFonts w:ascii="Times New Roman" w:hAnsi="Times New Roman" w:cs="Times New Roman"/>
          <w:sz w:val="24"/>
          <w:szCs w:val="24"/>
        </w:rPr>
        <w:t xml:space="preserve">: </w:t>
      </w:r>
      <w:r w:rsidR="00546F64" w:rsidRPr="00591DCF">
        <w:rPr>
          <w:rFonts w:ascii="Times New Roman" w:hAnsi="Times New Roman" w:cs="Times New Roman"/>
          <w:sz w:val="24"/>
          <w:szCs w:val="24"/>
        </w:rPr>
        <w:t>g</w:t>
      </w:r>
      <w:r w:rsidRPr="00591DCF">
        <w:rPr>
          <w:rFonts w:ascii="Times New Roman" w:hAnsi="Times New Roman" w:cs="Times New Roman"/>
          <w:sz w:val="24"/>
          <w:szCs w:val="24"/>
        </w:rPr>
        <w:t>lobal</w:t>
      </w:r>
      <w:r w:rsidR="00546F64" w:rsidRPr="00591DCF">
        <w:rPr>
          <w:rFonts w:ascii="Times New Roman" w:hAnsi="Times New Roman" w:cs="Times New Roman"/>
          <w:sz w:val="24"/>
          <w:szCs w:val="24"/>
        </w:rPr>
        <w:t xml:space="preserve"> </w:t>
      </w:r>
      <w:r w:rsidRPr="00591DCF">
        <w:rPr>
          <w:rFonts w:ascii="Times New Roman" w:hAnsi="Times New Roman" w:cs="Times New Roman"/>
          <w:sz w:val="24"/>
          <w:szCs w:val="24"/>
        </w:rPr>
        <w:t>perspectives. Upper Saddle River</w:t>
      </w:r>
      <w:r w:rsidR="00546F64" w:rsidRPr="00591DCF">
        <w:rPr>
          <w:rFonts w:ascii="Times New Roman" w:hAnsi="Times New Roman" w:cs="Times New Roman"/>
          <w:sz w:val="24"/>
          <w:szCs w:val="24"/>
        </w:rPr>
        <w:t xml:space="preserve"> (NJ)</w:t>
      </w:r>
      <w:r w:rsidRPr="00591DCF">
        <w:rPr>
          <w:rFonts w:ascii="Times New Roman" w:hAnsi="Times New Roman" w:cs="Times New Roman"/>
          <w:sz w:val="24"/>
          <w:szCs w:val="24"/>
        </w:rPr>
        <w:t xml:space="preserve">: Pearson; </w:t>
      </w:r>
      <w:r w:rsidR="00546F64" w:rsidRPr="00591DCF">
        <w:rPr>
          <w:rFonts w:ascii="Times New Roman" w:hAnsi="Times New Roman" w:cs="Times New Roman"/>
          <w:sz w:val="24"/>
          <w:szCs w:val="24"/>
        </w:rPr>
        <w:t>2023</w:t>
      </w:r>
      <w:r w:rsidRPr="00591DCF">
        <w:rPr>
          <w:rFonts w:ascii="Times New Roman" w:hAnsi="Times New Roman" w:cs="Times New Roman"/>
          <w:sz w:val="24"/>
          <w:szCs w:val="24"/>
        </w:rPr>
        <w:t>.</w:t>
      </w:r>
      <w:r w:rsidR="00546F64" w:rsidRPr="00591DCF">
        <w:rPr>
          <w:rFonts w:ascii="Times New Roman" w:hAnsi="Times New Roman" w:cs="Times New Roman"/>
          <w:sz w:val="24"/>
          <w:szCs w:val="24"/>
        </w:rPr>
        <w:t xml:space="preserve"> 543 p.</w:t>
      </w:r>
    </w:p>
    <w:p w14:paraId="23F37B8F" w14:textId="4BB5B5C2" w:rsidR="00546F64" w:rsidRPr="00591DCF" w:rsidRDefault="00546F64" w:rsidP="00591DCF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DCF">
        <w:rPr>
          <w:rFonts w:ascii="Times New Roman" w:hAnsi="Times New Roman" w:cs="Times New Roman"/>
          <w:sz w:val="24"/>
          <w:szCs w:val="24"/>
        </w:rPr>
        <w:t xml:space="preserve">3. </w:t>
      </w:r>
      <w:r w:rsidRPr="00591DCF">
        <w:rPr>
          <w:rFonts w:ascii="Times New Roman" w:hAnsi="Times New Roman" w:cs="Times New Roman"/>
          <w:sz w:val="24"/>
          <w:szCs w:val="24"/>
        </w:rPr>
        <w:t xml:space="preserve">Klein S, Gastaldelli A, Yki-Järvinen H, et al. Why does obesity cause diabetes? Cell Metab. 2022 Jan 4;34(1):11-20. </w:t>
      </w:r>
      <w:proofErr w:type="gramStart"/>
      <w:r w:rsidRPr="00591DCF">
        <w:rPr>
          <w:rFonts w:ascii="Times New Roman" w:hAnsi="Times New Roman" w:cs="Times New Roman"/>
          <w:sz w:val="24"/>
          <w:szCs w:val="24"/>
        </w:rPr>
        <w:t>doi:10.1016/j.cmet</w:t>
      </w:r>
      <w:proofErr w:type="gramEnd"/>
      <w:r w:rsidRPr="00591DCF">
        <w:rPr>
          <w:rFonts w:ascii="Times New Roman" w:hAnsi="Times New Roman" w:cs="Times New Roman"/>
          <w:sz w:val="24"/>
          <w:szCs w:val="24"/>
        </w:rPr>
        <w:t>.2021.12.012</w:t>
      </w:r>
    </w:p>
    <w:p w14:paraId="29EEFA6C" w14:textId="1BEEE906" w:rsidR="008048E7" w:rsidRPr="00591DCF" w:rsidRDefault="00546F64" w:rsidP="00591DCF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DCF">
        <w:rPr>
          <w:rFonts w:ascii="Times New Roman" w:hAnsi="Times New Roman" w:cs="Times New Roman"/>
          <w:sz w:val="24"/>
          <w:szCs w:val="24"/>
        </w:rPr>
        <w:t>4</w:t>
      </w:r>
      <w:r w:rsidR="00000000" w:rsidRPr="00591DCF">
        <w:rPr>
          <w:rFonts w:ascii="Times New Roman" w:hAnsi="Times New Roman" w:cs="Times New Roman"/>
          <w:sz w:val="24"/>
          <w:szCs w:val="24"/>
        </w:rPr>
        <w:t xml:space="preserve">. Johnson J, Nixon D, Stein G, Kaufmann A, George R, Powell, M, et al. Experimental </w:t>
      </w:r>
      <w:r w:rsidRPr="00591DCF">
        <w:rPr>
          <w:rFonts w:ascii="Times New Roman" w:hAnsi="Times New Roman" w:cs="Times New Roman"/>
          <w:sz w:val="24"/>
          <w:szCs w:val="24"/>
        </w:rPr>
        <w:t>medicine,</w:t>
      </w:r>
      <w:r w:rsidR="00000000" w:rsidRPr="00591DCF">
        <w:rPr>
          <w:rFonts w:ascii="Times New Roman" w:hAnsi="Times New Roman" w:cs="Times New Roman"/>
          <w:sz w:val="24"/>
          <w:szCs w:val="24"/>
        </w:rPr>
        <w:t xml:space="preserve"> and its effects. New York</w:t>
      </w:r>
      <w:r w:rsidRPr="00591DCF">
        <w:rPr>
          <w:rFonts w:ascii="Times New Roman" w:hAnsi="Times New Roman" w:cs="Times New Roman"/>
          <w:sz w:val="24"/>
          <w:szCs w:val="24"/>
        </w:rPr>
        <w:t xml:space="preserve"> (NY)</w:t>
      </w:r>
      <w:r w:rsidR="00000000" w:rsidRPr="00591DCF">
        <w:rPr>
          <w:rFonts w:ascii="Times New Roman" w:hAnsi="Times New Roman" w:cs="Times New Roman"/>
          <w:sz w:val="24"/>
          <w:szCs w:val="24"/>
        </w:rPr>
        <w:t xml:space="preserve">: McGraw Hill; </w:t>
      </w:r>
      <w:r w:rsidRPr="00591DCF">
        <w:rPr>
          <w:rFonts w:ascii="Times New Roman" w:hAnsi="Times New Roman" w:cs="Times New Roman"/>
          <w:sz w:val="24"/>
          <w:szCs w:val="24"/>
        </w:rPr>
        <w:t>2020</w:t>
      </w:r>
      <w:r w:rsidR="00000000" w:rsidRPr="00591DCF">
        <w:rPr>
          <w:rFonts w:ascii="Times New Roman" w:hAnsi="Times New Roman" w:cs="Times New Roman"/>
          <w:sz w:val="24"/>
          <w:szCs w:val="24"/>
        </w:rPr>
        <w:t>.</w:t>
      </w:r>
      <w:r w:rsidRPr="00591DCF">
        <w:rPr>
          <w:rFonts w:ascii="Times New Roman" w:hAnsi="Times New Roman" w:cs="Times New Roman"/>
          <w:sz w:val="24"/>
          <w:szCs w:val="24"/>
        </w:rPr>
        <w:t xml:space="preserve"> 614 p.</w:t>
      </w:r>
    </w:p>
    <w:p w14:paraId="204F5151" w14:textId="3F18C1E9" w:rsidR="008048E7" w:rsidRPr="00591DCF" w:rsidRDefault="00546F64" w:rsidP="00591DCF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DCF">
        <w:rPr>
          <w:rFonts w:ascii="Times New Roman" w:hAnsi="Times New Roman" w:cs="Times New Roman"/>
          <w:sz w:val="24"/>
          <w:szCs w:val="24"/>
        </w:rPr>
        <w:t>5</w:t>
      </w:r>
      <w:r w:rsidR="00000000" w:rsidRPr="00591DCF">
        <w:rPr>
          <w:rFonts w:ascii="Times New Roman" w:hAnsi="Times New Roman" w:cs="Times New Roman"/>
          <w:sz w:val="24"/>
          <w:szCs w:val="24"/>
        </w:rPr>
        <w:t xml:space="preserve">. </w:t>
      </w:r>
      <w:r w:rsidR="00591DCF" w:rsidRPr="00591DCF">
        <w:rPr>
          <w:rFonts w:ascii="Times New Roman" w:hAnsi="Times New Roman" w:cs="Times New Roman"/>
          <w:sz w:val="24"/>
          <w:szCs w:val="24"/>
        </w:rPr>
        <w:t>Banday MZ, Sameer AS, Nissar S. Pathophysiology of diabetes: an overview. Avicenna J Med [Internet]. 2020 Oct 2 [cited 2024 May 16];10(04</w:t>
      </w:r>
      <w:proofErr w:type="gramStart"/>
      <w:r w:rsidR="00591DCF" w:rsidRPr="00591DCF">
        <w:rPr>
          <w:rFonts w:ascii="Times New Roman" w:hAnsi="Times New Roman" w:cs="Times New Roman"/>
          <w:sz w:val="24"/>
          <w:szCs w:val="24"/>
        </w:rPr>
        <w:t>):[</w:t>
      </w:r>
      <w:proofErr w:type="gramEnd"/>
      <w:r w:rsidR="00591DCF" w:rsidRPr="00591DCF">
        <w:rPr>
          <w:rFonts w:ascii="Times New Roman" w:hAnsi="Times New Roman" w:cs="Times New Roman"/>
          <w:sz w:val="24"/>
          <w:szCs w:val="24"/>
        </w:rPr>
        <w:t>15 p.]. Available from: https://www.thieme-connect.com/products/ejournals/html/10.4103/ajm.ajm_53_20</w:t>
      </w:r>
    </w:p>
    <w:p w14:paraId="1B35A6E7" w14:textId="0C760CA4" w:rsidR="008048E7" w:rsidRPr="00591DCF" w:rsidRDefault="008048E7" w:rsidP="00472C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048E7" w:rsidRPr="00591DCF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DB6EC" w14:textId="77777777" w:rsidR="00B21920" w:rsidRDefault="00B21920" w:rsidP="00546F64">
      <w:pPr>
        <w:spacing w:line="240" w:lineRule="auto"/>
      </w:pPr>
      <w:r>
        <w:separator/>
      </w:r>
    </w:p>
  </w:endnote>
  <w:endnote w:type="continuationSeparator" w:id="0">
    <w:p w14:paraId="3C786F6A" w14:textId="77777777" w:rsidR="00B21920" w:rsidRDefault="00B21920" w:rsidP="00546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C1D16" w14:textId="77777777" w:rsidR="00B21920" w:rsidRDefault="00B21920" w:rsidP="00546F64">
      <w:pPr>
        <w:spacing w:line="240" w:lineRule="auto"/>
      </w:pPr>
      <w:r>
        <w:separator/>
      </w:r>
    </w:p>
  </w:footnote>
  <w:footnote w:type="continuationSeparator" w:id="0">
    <w:p w14:paraId="057C690E" w14:textId="77777777" w:rsidR="00B21920" w:rsidRDefault="00B21920" w:rsidP="00546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CB250" w14:textId="77777777" w:rsidR="00546F64" w:rsidRDefault="00546F64">
    <w:pPr>
      <w:pStyle w:val="Header"/>
      <w:jc w:val="right"/>
    </w:pPr>
  </w:p>
  <w:p w14:paraId="390167C6" w14:textId="77777777" w:rsidR="00546F64" w:rsidRDefault="00546F64">
    <w:pPr>
      <w:pStyle w:val="Header"/>
      <w:jc w:val="right"/>
    </w:pPr>
  </w:p>
  <w:sdt>
    <w:sdtPr>
      <w:id w:val="17691180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F032FB" w14:textId="77777777" w:rsidR="00546F64" w:rsidRDefault="00546F64">
        <w:pPr>
          <w:pStyle w:val="Header"/>
          <w:jc w:val="right"/>
        </w:pPr>
      </w:p>
      <w:p w14:paraId="0E16A016" w14:textId="4756AB23" w:rsidR="00546F64" w:rsidRDefault="00546F64">
        <w:pPr>
          <w:pStyle w:val="Header"/>
          <w:jc w:val="right"/>
        </w:pPr>
        <w:r w:rsidRPr="00546F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6F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6F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6F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6F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BFA80E7" w14:textId="77777777" w:rsidR="00546F64" w:rsidRDefault="00546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8E7"/>
    <w:rsid w:val="00472CED"/>
    <w:rsid w:val="005365ED"/>
    <w:rsid w:val="00546F64"/>
    <w:rsid w:val="00591DCF"/>
    <w:rsid w:val="006C4BFC"/>
    <w:rsid w:val="008048E7"/>
    <w:rsid w:val="00B2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14EC"/>
  <w15:docId w15:val="{649296A7-148C-4583-AC49-C8A87B72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46F64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64"/>
  </w:style>
  <w:style w:type="paragraph" w:styleId="Footer">
    <w:name w:val="footer"/>
    <w:basedOn w:val="Normal"/>
    <w:link w:val="FooterChar"/>
    <w:uiPriority w:val="99"/>
    <w:unhideWhenUsed/>
    <w:rsid w:val="00546F64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2024-06-12T17:22:00Z</dcterms:created>
  <dcterms:modified xsi:type="dcterms:W3CDTF">2024-06-12T17:22:00Z</dcterms:modified>
</cp:coreProperties>
</file>